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Privacy Policy</w:t>
      </w:r>
    </w:p>
    <w:p>
      <w:pPr>
        <w:spacing w:after="120"/>
      </w:pPr>
      <w:r>
        <w:rPr>
          <w:b/>
          <w:bCs/>
        </w:rPr>
        <w:t xml:space="preserve">Ceylon on my terms — trading as CEYLON ON MY TERMS · Org.nr 19980621-3550</w:t>
      </w:r>
    </w:p>
    <w:p>
      <w:pPr>
        <w:spacing w:after="120"/>
      </w:pPr>
      <w:r>
        <w:rPr>
          <w:i/>
          <w:iCs/>
          <w:color w:val="595959"/>
          <w:sz w:val="20"/>
          <w:szCs w:val="20"/>
        </w:rPr>
        <w:t xml:space="preserve">Effective date: [insert date]  ·  Version: [insert version]</w:t>
      </w:r>
    </w:p>
    <w:p>
      <w:pPr>
        <w:shd w:fill="FFF3E0" w:val="clear"/>
        <w:spacing w:after="160"/>
      </w:pPr>
      <w:r>
        <w:rPr>
          <w:i/>
          <w:iCs/>
          <w:color w:val="9C4221"/>
          <w:sz w:val="20"/>
          <w:szCs w:val="20"/>
        </w:rPr>
        <w:t xml:space="preserve">DRAFT FOR LEGAL REVIEW — NOT YET LEGALLY BINDING. AI-drafted based on general GDPR principles. It has not been reviewed by a lawyer or data protection specialist, and several answers depend on facts only you know (exact systems used, sub-processors, retention practices) marked [placeholder]. Have this reviewed before publishing, and confirm whether a Swedish-language version is required for your customer base.</w:t>
      </w:r>
    </w:p>
    <w:p>
      <w:pPr>
        <w:pStyle w:val="Heading1"/>
        <w:spacing w:after="140" w:before="320"/>
      </w:pPr>
      <w:r>
        <w:t xml:space="preserve">1. Who Controls Your Data</w:t>
      </w:r>
    </w:p>
    <w:p>
      <w:pPr>
        <w:spacing w:after="120"/>
      </w:pPr>
      <w:r>
        <w:t xml:space="preserve">Ceylon on my terms, trading as CEYLON ON MY TERMS, Studentstaden 22, 752 33 Uppsala, Sweden, org.nr 19980621-3550, is the data controller for personal data collected through ceylononmyterms.se, our booking/planner tool, our dashboard, and our direct communications with you ("we", "us").</w:t>
      </w:r>
    </w:p>
    <w:p>
      <w:pPr>
        <w:spacing w:after="120"/>
      </w:pPr>
      <w:r>
        <w:t xml:space="preserve">Contact for data protection questions: ceylononmyterms@gmail.com [or a dedicated privacy@ceylononmyterms.se address, and a named contact/DPO if you appoint one].</w:t>
      </w:r>
    </w:p>
    <w:p>
      <w:pPr>
        <w:pStyle w:val="Heading1"/>
        <w:spacing w:after="140" w:before="320"/>
      </w:pPr>
      <w:r>
        <w:t xml:space="preserve">2. What We Collect</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6600"/>
      </w:tblGrid>
      <w:tr>
        <w:tc>
          <w:tcPr>
            <w:tcW w:type="dxa" w:w="3000"/>
            <w:shd w:fill="0A4F5C" w:val="clear"/>
            <w:tcMar>
              <w:top w:type="dxa" w:w="80"/>
              <w:left w:type="dxa" w:w="100"/>
              <w:bottom w:type="dxa" w:w="80"/>
              <w:right w:type="dxa" w:w="100"/>
            </w:tcMar>
          </w:tcPr>
          <w:p>
            <w:r>
              <w:rPr>
                <w:b/>
                <w:bCs/>
                <w:color w:val="FFFFFF"/>
                <w:sz w:val="19"/>
                <w:szCs w:val="19"/>
              </w:rPr>
              <w:t xml:space="preserve">Category</w:t>
            </w:r>
          </w:p>
        </w:tc>
        <w:tc>
          <w:tcPr>
            <w:tcW w:type="dxa" w:w="6600"/>
            <w:shd w:fill="0A4F5C" w:val="clear"/>
            <w:tcMar>
              <w:top w:type="dxa" w:w="80"/>
              <w:left w:type="dxa" w:w="100"/>
              <w:bottom w:type="dxa" w:w="80"/>
              <w:right w:type="dxa" w:w="100"/>
            </w:tcMar>
          </w:tcPr>
          <w:p>
            <w:r>
              <w:rPr>
                <w:b/>
                <w:bCs/>
                <w:color w:val="FFFFFF"/>
                <w:sz w:val="19"/>
                <w:szCs w:val="19"/>
              </w:rPr>
              <w:t xml:space="preserve">Examples</w:t>
            </w:r>
          </w:p>
        </w:tc>
      </w:tr>
      <w:tr>
        <w:tc>
          <w:tcPr>
            <w:tcW w:type="dxa" w:w="3000"/>
            <w:tcMar>
              <w:top w:type="dxa" w:w="80"/>
              <w:left w:type="dxa" w:w="100"/>
              <w:bottom w:type="dxa" w:w="80"/>
              <w:right w:type="dxa" w:w="100"/>
            </w:tcMar>
          </w:tcPr>
          <w:p>
            <w:r>
              <w:rPr>
                <w:b w:val="false"/>
                <w:bCs w:val="false"/>
                <w:color w:val="000000"/>
                <w:sz w:val="19"/>
                <w:szCs w:val="19"/>
              </w:rPr>
              <w:t xml:space="preserve">Identity &amp; contact data</w:t>
            </w:r>
          </w:p>
        </w:tc>
        <w:tc>
          <w:tcPr>
            <w:tcW w:type="dxa" w:w="6600"/>
            <w:tcMar>
              <w:top w:type="dxa" w:w="80"/>
              <w:left w:type="dxa" w:w="100"/>
              <w:bottom w:type="dxa" w:w="80"/>
              <w:right w:type="dxa" w:w="100"/>
            </w:tcMar>
          </w:tcPr>
          <w:p>
            <w:r>
              <w:rPr>
                <w:b w:val="false"/>
                <w:bCs w:val="false"/>
                <w:color w:val="000000"/>
                <w:sz w:val="19"/>
                <w:szCs w:val="19"/>
              </w:rPr>
              <w:t xml:space="preserve">Name, email, phone, date of birth (for child pricing), passport details where needed for bookings</w:t>
            </w:r>
          </w:p>
        </w:tc>
      </w:tr>
      <w:tr>
        <w:tc>
          <w:tcPr>
            <w:tcW w:type="dxa" w:w="3000"/>
            <w:tcMar>
              <w:top w:type="dxa" w:w="80"/>
              <w:left w:type="dxa" w:w="100"/>
              <w:bottom w:type="dxa" w:w="80"/>
              <w:right w:type="dxa" w:w="100"/>
            </w:tcMar>
          </w:tcPr>
          <w:p>
            <w:r>
              <w:rPr>
                <w:b w:val="false"/>
                <w:bCs w:val="false"/>
                <w:color w:val="000000"/>
                <w:sz w:val="19"/>
                <w:szCs w:val="19"/>
              </w:rPr>
              <w:t xml:space="preserve">Booking &amp; travel data</w:t>
            </w:r>
          </w:p>
        </w:tc>
        <w:tc>
          <w:tcPr>
            <w:tcW w:type="dxa" w:w="6600"/>
            <w:tcMar>
              <w:top w:type="dxa" w:w="80"/>
              <w:left w:type="dxa" w:w="100"/>
              <w:bottom w:type="dxa" w:w="80"/>
              <w:right w:type="dxa" w:w="100"/>
            </w:tcMar>
          </w:tcPr>
          <w:p>
            <w:r>
              <w:rPr>
                <w:b w:val="false"/>
                <w:bCs w:val="false"/>
                <w:color w:val="000000"/>
                <w:sz w:val="19"/>
                <w:szCs w:val="19"/>
              </w:rPr>
              <w:t xml:space="preserve">Package selected, dates, group size, dietary/medical notes you choose to share, gem/jewelry consultation preferences, wedding/honeymoon requirements</w:t>
            </w:r>
          </w:p>
        </w:tc>
      </w:tr>
      <w:tr>
        <w:tc>
          <w:tcPr>
            <w:tcW w:type="dxa" w:w="3000"/>
            <w:tcMar>
              <w:top w:type="dxa" w:w="80"/>
              <w:left w:type="dxa" w:w="100"/>
              <w:bottom w:type="dxa" w:w="80"/>
              <w:right w:type="dxa" w:w="100"/>
            </w:tcMar>
          </w:tcPr>
          <w:p>
            <w:r>
              <w:rPr>
                <w:b w:val="false"/>
                <w:bCs w:val="false"/>
                <w:color w:val="000000"/>
                <w:sz w:val="19"/>
                <w:szCs w:val="19"/>
              </w:rPr>
              <w:t xml:space="preserve">Payment data</w:t>
            </w:r>
          </w:p>
        </w:tc>
        <w:tc>
          <w:tcPr>
            <w:tcW w:type="dxa" w:w="6600"/>
            <w:tcMar>
              <w:top w:type="dxa" w:w="80"/>
              <w:left w:type="dxa" w:w="100"/>
              <w:bottom w:type="dxa" w:w="80"/>
              <w:right w:type="dxa" w:w="100"/>
            </w:tcMar>
          </w:tcPr>
          <w:p>
            <w:r>
              <w:rPr>
                <w:b w:val="false"/>
                <w:bCs w:val="false"/>
                <w:color w:val="000000"/>
                <w:sz w:val="19"/>
                <w:szCs w:val="19"/>
              </w:rPr>
              <w:t xml:space="preserve">Payment status and amounts; card/Klarna/Swish details are handled directly by our payment providers — we do not store full card numbers</w:t>
            </w:r>
          </w:p>
        </w:tc>
      </w:tr>
      <w:tr>
        <w:tc>
          <w:tcPr>
            <w:tcW w:type="dxa" w:w="3000"/>
            <w:tcMar>
              <w:top w:type="dxa" w:w="80"/>
              <w:left w:type="dxa" w:w="100"/>
              <w:bottom w:type="dxa" w:w="80"/>
              <w:right w:type="dxa" w:w="100"/>
            </w:tcMar>
          </w:tcPr>
          <w:p>
            <w:r>
              <w:rPr>
                <w:b w:val="false"/>
                <w:bCs w:val="false"/>
                <w:color w:val="000000"/>
                <w:sz w:val="19"/>
                <w:szCs w:val="19"/>
              </w:rPr>
              <w:t xml:space="preserve">Account data</w:t>
            </w:r>
          </w:p>
        </w:tc>
        <w:tc>
          <w:tcPr>
            <w:tcW w:type="dxa" w:w="6600"/>
            <w:tcMar>
              <w:top w:type="dxa" w:w="80"/>
              <w:left w:type="dxa" w:w="100"/>
              <w:bottom w:type="dxa" w:w="80"/>
              <w:right w:type="dxa" w:w="100"/>
            </w:tcMar>
          </w:tcPr>
          <w:p>
            <w:r>
              <w:rPr>
                <w:b w:val="false"/>
                <w:bCs w:val="false"/>
                <w:color w:val="000000"/>
                <w:sz w:val="19"/>
                <w:szCs w:val="19"/>
              </w:rPr>
              <w:t xml:space="preserve">Login credentials for the dashboard, planner selections and history</w:t>
            </w:r>
          </w:p>
        </w:tc>
      </w:tr>
      <w:tr>
        <w:tc>
          <w:tcPr>
            <w:tcW w:type="dxa" w:w="3000"/>
            <w:tcMar>
              <w:top w:type="dxa" w:w="80"/>
              <w:left w:type="dxa" w:w="100"/>
              <w:bottom w:type="dxa" w:w="80"/>
              <w:right w:type="dxa" w:w="100"/>
            </w:tcMar>
          </w:tcPr>
          <w:p>
            <w:r>
              <w:rPr>
                <w:b w:val="false"/>
                <w:bCs w:val="false"/>
                <w:color w:val="000000"/>
                <w:sz w:val="19"/>
                <w:szCs w:val="19"/>
              </w:rPr>
              <w:t xml:space="preserve">Technical data</w:t>
            </w:r>
          </w:p>
        </w:tc>
        <w:tc>
          <w:tcPr>
            <w:tcW w:type="dxa" w:w="6600"/>
            <w:tcMar>
              <w:top w:type="dxa" w:w="80"/>
              <w:left w:type="dxa" w:w="100"/>
              <w:bottom w:type="dxa" w:w="80"/>
              <w:right w:type="dxa" w:w="100"/>
            </w:tcMar>
          </w:tcPr>
          <w:p>
            <w:r>
              <w:rPr>
                <w:b w:val="false"/>
                <w:bCs w:val="false"/>
                <w:color w:val="000000"/>
                <w:sz w:val="19"/>
                <w:szCs w:val="19"/>
              </w:rPr>
              <w:t xml:space="preserve">IP address, browser/device type, pages visited, cookies (see Section 8)</w:t>
            </w:r>
          </w:p>
        </w:tc>
      </w:tr>
      <w:tr>
        <w:tc>
          <w:tcPr>
            <w:tcW w:type="dxa" w:w="3000"/>
            <w:tcMar>
              <w:top w:type="dxa" w:w="80"/>
              <w:left w:type="dxa" w:w="100"/>
              <w:bottom w:type="dxa" w:w="80"/>
              <w:right w:type="dxa" w:w="100"/>
            </w:tcMar>
          </w:tcPr>
          <w:p>
            <w:r>
              <w:rPr>
                <w:b w:val="false"/>
                <w:bCs w:val="false"/>
                <w:color w:val="000000"/>
                <w:sz w:val="19"/>
                <w:szCs w:val="19"/>
              </w:rPr>
              <w:t xml:space="preserve">Marketing preferences</w:t>
            </w:r>
          </w:p>
        </w:tc>
        <w:tc>
          <w:tcPr>
            <w:tcW w:type="dxa" w:w="6600"/>
            <w:tcMar>
              <w:top w:type="dxa" w:w="80"/>
              <w:left w:type="dxa" w:w="100"/>
              <w:bottom w:type="dxa" w:w="80"/>
              <w:right w:type="dxa" w:w="100"/>
            </w:tcMar>
          </w:tcPr>
          <w:p>
            <w:r>
              <w:rPr>
                <w:b w:val="false"/>
                <w:bCs w:val="false"/>
                <w:color w:val="000000"/>
                <w:sz w:val="19"/>
                <w:szCs w:val="19"/>
              </w:rPr>
              <w:t xml:space="preserve">Newsletter/marketing opt-in status</w:t>
            </w:r>
          </w:p>
        </w:tc>
      </w:tr>
    </w:tbl>
    <w:p>
      <w:pPr>
        <w:pStyle w:val="Heading1"/>
        <w:spacing w:after="140" w:before="320"/>
      </w:pPr>
      <w:r>
        <w:t xml:space="preserve">3. Why We Process It, and Our Legal Basis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400"/>
        <w:gridCol w:w="5200"/>
      </w:tblGrid>
      <w:tr>
        <w:tc>
          <w:tcPr>
            <w:tcW w:type="dxa" w:w="4400"/>
            <w:shd w:fill="0A4F5C" w:val="clear"/>
            <w:tcMar>
              <w:top w:type="dxa" w:w="80"/>
              <w:left w:type="dxa" w:w="100"/>
              <w:bottom w:type="dxa" w:w="80"/>
              <w:right w:type="dxa" w:w="100"/>
            </w:tcMar>
          </w:tcPr>
          <w:p>
            <w:r>
              <w:rPr>
                <w:b/>
                <w:bCs/>
                <w:color w:val="FFFFFF"/>
                <w:sz w:val="19"/>
                <w:szCs w:val="19"/>
              </w:rPr>
              <w:t xml:space="preserve">Purpose</w:t>
            </w:r>
          </w:p>
        </w:tc>
        <w:tc>
          <w:tcPr>
            <w:tcW w:type="dxa" w:w="5200"/>
            <w:shd w:fill="0A4F5C" w:val="clear"/>
            <w:tcMar>
              <w:top w:type="dxa" w:w="80"/>
              <w:left w:type="dxa" w:w="100"/>
              <w:bottom w:type="dxa" w:w="80"/>
              <w:right w:type="dxa" w:w="100"/>
            </w:tcMar>
          </w:tcPr>
          <w:p>
            <w:r>
              <w:rPr>
                <w:b/>
                <w:bCs/>
                <w:color w:val="FFFFFF"/>
                <w:sz w:val="19"/>
                <w:szCs w:val="19"/>
              </w:rPr>
              <w:t xml:space="preserve">Legal basis (GDPR Art. 6)</w:t>
            </w:r>
          </w:p>
        </w:tc>
      </w:tr>
      <w:tr>
        <w:tc>
          <w:tcPr>
            <w:tcW w:type="dxa" w:w="4400"/>
            <w:tcMar>
              <w:top w:type="dxa" w:w="80"/>
              <w:left w:type="dxa" w:w="100"/>
              <w:bottom w:type="dxa" w:w="80"/>
              <w:right w:type="dxa" w:w="100"/>
            </w:tcMar>
          </w:tcPr>
          <w:p>
            <w:r>
              <w:rPr>
                <w:b w:val="false"/>
                <w:bCs w:val="false"/>
                <w:color w:val="000000"/>
                <w:sz w:val="19"/>
                <w:szCs w:val="19"/>
              </w:rPr>
              <w:t xml:space="preserve">Creating and managing your booking, taking payment, delivering the trip</w:t>
            </w:r>
          </w:p>
        </w:tc>
        <w:tc>
          <w:tcPr>
            <w:tcW w:type="dxa" w:w="5200"/>
            <w:tcMar>
              <w:top w:type="dxa" w:w="80"/>
              <w:left w:type="dxa" w:w="100"/>
              <w:bottom w:type="dxa" w:w="80"/>
              <w:right w:type="dxa" w:w="100"/>
            </w:tcMar>
          </w:tcPr>
          <w:p>
            <w:r>
              <w:rPr>
                <w:b w:val="false"/>
                <w:bCs w:val="false"/>
                <w:color w:val="000000"/>
                <w:sz w:val="19"/>
                <w:szCs w:val="19"/>
              </w:rPr>
              <w:t xml:space="preserve">Performance of a contract (6.1.b)</w:t>
            </w:r>
          </w:p>
        </w:tc>
      </w:tr>
      <w:tr>
        <w:tc>
          <w:tcPr>
            <w:tcW w:type="dxa" w:w="4400"/>
            <w:tcMar>
              <w:top w:type="dxa" w:w="80"/>
              <w:left w:type="dxa" w:w="100"/>
              <w:bottom w:type="dxa" w:w="80"/>
              <w:right w:type="dxa" w:w="100"/>
            </w:tcMar>
          </w:tcPr>
          <w:p>
            <w:r>
              <w:rPr>
                <w:b w:val="false"/>
                <w:bCs w:val="false"/>
                <w:color w:val="000000"/>
                <w:sz w:val="19"/>
                <w:szCs w:val="19"/>
              </w:rPr>
              <w:t xml:space="preserve">Meeting our travel-guarantee, accounting, and tax obligations (incl. Kammarkollegiet reporting)</w:t>
            </w:r>
          </w:p>
        </w:tc>
        <w:tc>
          <w:tcPr>
            <w:tcW w:type="dxa" w:w="5200"/>
            <w:tcMar>
              <w:top w:type="dxa" w:w="80"/>
              <w:left w:type="dxa" w:w="100"/>
              <w:bottom w:type="dxa" w:w="80"/>
              <w:right w:type="dxa" w:w="100"/>
            </w:tcMar>
          </w:tcPr>
          <w:p>
            <w:r>
              <w:rPr>
                <w:b w:val="false"/>
                <w:bCs w:val="false"/>
                <w:color w:val="000000"/>
                <w:sz w:val="19"/>
                <w:szCs w:val="19"/>
              </w:rPr>
              <w:t xml:space="preserve">Legal obligation (6.1.c)</w:t>
            </w:r>
          </w:p>
        </w:tc>
      </w:tr>
      <w:tr>
        <w:tc>
          <w:tcPr>
            <w:tcW w:type="dxa" w:w="4400"/>
            <w:tcMar>
              <w:top w:type="dxa" w:w="80"/>
              <w:left w:type="dxa" w:w="100"/>
              <w:bottom w:type="dxa" w:w="80"/>
              <w:right w:type="dxa" w:w="100"/>
            </w:tcMar>
          </w:tcPr>
          <w:p>
            <w:r>
              <w:rPr>
                <w:b w:val="false"/>
                <w:bCs w:val="false"/>
                <w:color w:val="000000"/>
                <w:sz w:val="19"/>
                <w:szCs w:val="19"/>
              </w:rPr>
              <w:t xml:space="preserve">Sharing necessary details with our Sri Lanka ground handler and other suppliers to deliver your trip</w:t>
            </w:r>
          </w:p>
        </w:tc>
        <w:tc>
          <w:tcPr>
            <w:tcW w:type="dxa" w:w="5200"/>
            <w:tcMar>
              <w:top w:type="dxa" w:w="80"/>
              <w:left w:type="dxa" w:w="100"/>
              <w:bottom w:type="dxa" w:w="80"/>
              <w:right w:type="dxa" w:w="100"/>
            </w:tcMar>
          </w:tcPr>
          <w:p>
            <w:r>
              <w:rPr>
                <w:b w:val="false"/>
                <w:bCs w:val="false"/>
                <w:color w:val="000000"/>
                <w:sz w:val="19"/>
                <w:szCs w:val="19"/>
              </w:rPr>
              <w:t xml:space="preserve">Performance of a contract (6.1.b)</w:t>
            </w:r>
          </w:p>
        </w:tc>
      </w:tr>
      <w:tr>
        <w:tc>
          <w:tcPr>
            <w:tcW w:type="dxa" w:w="4400"/>
            <w:tcMar>
              <w:top w:type="dxa" w:w="80"/>
              <w:left w:type="dxa" w:w="100"/>
              <w:bottom w:type="dxa" w:w="80"/>
              <w:right w:type="dxa" w:w="100"/>
            </w:tcMar>
          </w:tcPr>
          <w:p>
            <w:r>
              <w:rPr>
                <w:b w:val="false"/>
                <w:bCs w:val="false"/>
                <w:color w:val="000000"/>
                <w:sz w:val="19"/>
                <w:szCs w:val="19"/>
              </w:rPr>
              <w:t xml:space="preserve">Responding to enquiries, complaints, and consultations (wedding/medical/gem)</w:t>
            </w:r>
          </w:p>
        </w:tc>
        <w:tc>
          <w:tcPr>
            <w:tcW w:type="dxa" w:w="5200"/>
            <w:tcMar>
              <w:top w:type="dxa" w:w="80"/>
              <w:left w:type="dxa" w:w="100"/>
              <w:bottom w:type="dxa" w:w="80"/>
              <w:right w:type="dxa" w:w="100"/>
            </w:tcMar>
          </w:tcPr>
          <w:p>
            <w:r>
              <w:rPr>
                <w:b w:val="false"/>
                <w:bCs w:val="false"/>
                <w:color w:val="000000"/>
                <w:sz w:val="19"/>
                <w:szCs w:val="19"/>
              </w:rPr>
              <w:t xml:space="preserve">Performance of a contract / legitimate interest (6.1.b / 6.1.f)</w:t>
            </w:r>
          </w:p>
        </w:tc>
      </w:tr>
      <w:tr>
        <w:tc>
          <w:tcPr>
            <w:tcW w:type="dxa" w:w="4400"/>
            <w:tcMar>
              <w:top w:type="dxa" w:w="80"/>
              <w:left w:type="dxa" w:w="100"/>
              <w:bottom w:type="dxa" w:w="80"/>
              <w:right w:type="dxa" w:w="100"/>
            </w:tcMar>
          </w:tcPr>
          <w:p>
            <w:r>
              <w:rPr>
                <w:b w:val="false"/>
                <w:bCs w:val="false"/>
                <w:color w:val="000000"/>
                <w:sz w:val="19"/>
                <w:szCs w:val="19"/>
              </w:rPr>
              <w:t xml:space="preserve">Sending marketing emails</w:t>
            </w:r>
          </w:p>
        </w:tc>
        <w:tc>
          <w:tcPr>
            <w:tcW w:type="dxa" w:w="5200"/>
            <w:tcMar>
              <w:top w:type="dxa" w:w="80"/>
              <w:left w:type="dxa" w:w="100"/>
              <w:bottom w:type="dxa" w:w="80"/>
              <w:right w:type="dxa" w:w="100"/>
            </w:tcMar>
          </w:tcPr>
          <w:p>
            <w:r>
              <w:rPr>
                <w:b w:val="false"/>
                <w:bCs w:val="false"/>
                <w:color w:val="000000"/>
                <w:sz w:val="19"/>
                <w:szCs w:val="19"/>
              </w:rPr>
              <w:t xml:space="preserve">Consent (6.1.a) — withdrawable anytime</w:t>
            </w:r>
          </w:p>
        </w:tc>
      </w:tr>
      <w:tr>
        <w:tc>
          <w:tcPr>
            <w:tcW w:type="dxa" w:w="4400"/>
            <w:tcMar>
              <w:top w:type="dxa" w:w="80"/>
              <w:left w:type="dxa" w:w="100"/>
              <w:bottom w:type="dxa" w:w="80"/>
              <w:right w:type="dxa" w:w="100"/>
            </w:tcMar>
          </w:tcPr>
          <w:p>
            <w:r>
              <w:rPr>
                <w:b w:val="false"/>
                <w:bCs w:val="false"/>
                <w:color w:val="000000"/>
                <w:sz w:val="19"/>
                <w:szCs w:val="19"/>
              </w:rPr>
              <w:t xml:space="preserve">Fraud prevention, IT security, enforcing these terms</w:t>
            </w:r>
          </w:p>
        </w:tc>
        <w:tc>
          <w:tcPr>
            <w:tcW w:type="dxa" w:w="5200"/>
            <w:tcMar>
              <w:top w:type="dxa" w:w="80"/>
              <w:left w:type="dxa" w:w="100"/>
              <w:bottom w:type="dxa" w:w="80"/>
              <w:right w:type="dxa" w:w="100"/>
            </w:tcMar>
          </w:tcPr>
          <w:p>
            <w:r>
              <w:rPr>
                <w:b w:val="false"/>
                <w:bCs w:val="false"/>
                <w:color w:val="000000"/>
                <w:sz w:val="19"/>
                <w:szCs w:val="19"/>
              </w:rPr>
              <w:t xml:space="preserve">Legitimate interest (6.1.f)</w:t>
            </w:r>
          </w:p>
        </w:tc>
      </w:tr>
      <w:tr>
        <w:tc>
          <w:tcPr>
            <w:tcW w:type="dxa" w:w="4400"/>
            <w:tcMar>
              <w:top w:type="dxa" w:w="80"/>
              <w:left w:type="dxa" w:w="100"/>
              <w:bottom w:type="dxa" w:w="80"/>
              <w:right w:type="dxa" w:w="100"/>
            </w:tcMar>
          </w:tcPr>
          <w:p>
            <w:r>
              <w:rPr>
                <w:b w:val="false"/>
                <w:bCs w:val="false"/>
                <w:color w:val="000000"/>
                <w:sz w:val="19"/>
                <w:szCs w:val="19"/>
              </w:rPr>
              <w:t xml:space="preserve">Health-related notes you share for Medical &amp; Wellness consultations</w:t>
            </w:r>
          </w:p>
        </w:tc>
        <w:tc>
          <w:tcPr>
            <w:tcW w:type="dxa" w:w="5200"/>
            <w:tcMar>
              <w:top w:type="dxa" w:w="80"/>
              <w:left w:type="dxa" w:w="100"/>
              <w:bottom w:type="dxa" w:w="80"/>
              <w:right w:type="dxa" w:w="100"/>
            </w:tcMar>
          </w:tcPr>
          <w:p>
            <w:r>
              <w:rPr>
                <w:b w:val="false"/>
                <w:bCs w:val="false"/>
                <w:color w:val="000000"/>
                <w:sz w:val="19"/>
                <w:szCs w:val="19"/>
              </w:rPr>
              <w:t xml:space="preserve">Explicit consent (Art. 9.2.a) — special category data</w:t>
            </w:r>
          </w:p>
        </w:tc>
      </w:tr>
    </w:tbl>
    <w:p>
      <w:pPr>
        <w:spacing w:after="120"/>
      </w:pPr>
      <w:r>
        <w:t xml:space="preserve">Where we rely on legitimate interest, we have considered that our interest does not override your rights and freedoms. Where we process special category data (e.g. health information you volunteer for a wellness consultation), we only do so with your explicit, separately given consent, and only to the extent necessary.</w:t>
      </w:r>
    </w:p>
    <w:p>
      <w:pPr>
        <w:pStyle w:val="Heading1"/>
        <w:spacing w:after="140" w:before="320"/>
      </w:pPr>
      <w:r>
        <w:t xml:space="preserve">4. Who We Share Data With</w:t>
      </w:r>
    </w:p>
    <w:p>
      <w:pPr>
        <w:pStyle w:val="ListParagraph"/>
        <w:numPr>
          <w:ilvl w:val="0"/>
          <w:numId w:val="1"/>
        </w:numPr>
        <w:spacing w:after="60"/>
      </w:pPr>
      <w:r>
        <w:t xml:space="preserve">Our Sri Lanka ground-handling partner and local suppliers (hotels, guides, transport) — limited to what they need to deliver your trip.</w:t>
      </w:r>
    </w:p>
    <w:p>
      <w:pPr>
        <w:pStyle w:val="ListParagraph"/>
        <w:numPr>
          <w:ilvl w:val="0"/>
          <w:numId w:val="1"/>
        </w:numPr>
        <w:spacing w:after="60"/>
      </w:pPr>
      <w:r>
        <w:t xml:space="preserve">Payment processors (card acquirer, Klarna, Swish) — to process your payment.</w:t>
      </w:r>
    </w:p>
    <w:p>
      <w:pPr>
        <w:pStyle w:val="ListParagraph"/>
        <w:numPr>
          <w:ilvl w:val="0"/>
          <w:numId w:val="1"/>
        </w:numPr>
        <w:spacing w:after="60"/>
      </w:pPr>
      <w:r>
        <w:t xml:space="preserve">IT/hosting and email service providers — to run the website, dashboard, and communications [name providers once fixed].</w:t>
      </w:r>
    </w:p>
    <w:p>
      <w:pPr>
        <w:pStyle w:val="ListParagraph"/>
        <w:numPr>
          <w:ilvl w:val="0"/>
          <w:numId w:val="1"/>
        </w:numPr>
        <w:spacing w:after="60"/>
      </w:pPr>
      <w:r>
        <w:t xml:space="preserve">Kammarkollegiet and other Swedish authorities — where legally required (travel guarantee, tax, anti-money-laundering).</w:t>
      </w:r>
    </w:p>
    <w:p>
      <w:pPr>
        <w:pStyle w:val="ListParagraph"/>
        <w:numPr>
          <w:ilvl w:val="0"/>
          <w:numId w:val="1"/>
        </w:numPr>
        <w:spacing w:after="60"/>
      </w:pPr>
      <w:r>
        <w:t xml:space="preserve">Professional advisers (accountant, lawyer) where necessary.</w:t>
      </w:r>
    </w:p>
    <w:p>
      <w:pPr>
        <w:spacing w:after="120"/>
      </w:pPr>
      <w:r>
        <w:t xml:space="preserve">We do not sell your personal data. We do not share it with third parties for their own marketing purposes without your separate consent.</w:t>
      </w:r>
    </w:p>
    <w:p>
      <w:pPr>
        <w:pStyle w:val="Heading1"/>
        <w:spacing w:after="140" w:before="320"/>
      </w:pPr>
      <w:r>
        <w:t xml:space="preserve">5. International Transfers</w:t>
      </w:r>
    </w:p>
    <w:p>
      <w:pPr>
        <w:spacing w:after="120"/>
      </w:pPr>
      <w:r>
        <w:t xml:space="preserve">Because we deliver trips in Sri Lanka, necessary booking details (name, dates, itinerary, and any special requirements you share) are transferred to our ground handler and local suppliers there. Sri Lanka is outside the EU/EEA and has not been the subject of an EU adequacy decision at the time of writing [verify current status before publishing], so such transfers rely on appropriate safeguards under GDPR Chapter V — typically the EU Standard Contractual Clauses with our Sri Lankan partners, supplemented as needed. Contact us for a copy of the relevant safeguard.</w:t>
      </w:r>
    </w:p>
    <w:p>
      <w:pPr>
        <w:pStyle w:val="Heading1"/>
        <w:spacing w:after="140" w:before="320"/>
      </w:pPr>
      <w:r>
        <w:t xml:space="preserve">6. How Long We Keep Your Data</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4000"/>
        <w:gridCol w:w="5600"/>
      </w:tblGrid>
      <w:tr>
        <w:tc>
          <w:tcPr>
            <w:tcW w:type="dxa" w:w="4000"/>
            <w:shd w:fill="0A4F5C" w:val="clear"/>
            <w:tcMar>
              <w:top w:type="dxa" w:w="80"/>
              <w:left w:type="dxa" w:w="100"/>
              <w:bottom w:type="dxa" w:w="80"/>
              <w:right w:type="dxa" w:w="100"/>
            </w:tcMar>
          </w:tcPr>
          <w:p>
            <w:r>
              <w:rPr>
                <w:b/>
                <w:bCs/>
                <w:color w:val="FFFFFF"/>
                <w:sz w:val="19"/>
                <w:szCs w:val="19"/>
              </w:rPr>
              <w:t xml:space="preserve">Data</w:t>
            </w:r>
          </w:p>
        </w:tc>
        <w:tc>
          <w:tcPr>
            <w:tcW w:type="dxa" w:w="5600"/>
            <w:shd w:fill="0A4F5C" w:val="clear"/>
            <w:tcMar>
              <w:top w:type="dxa" w:w="80"/>
              <w:left w:type="dxa" w:w="100"/>
              <w:bottom w:type="dxa" w:w="80"/>
              <w:right w:type="dxa" w:w="100"/>
            </w:tcMar>
          </w:tcPr>
          <w:p>
            <w:r>
              <w:rPr>
                <w:b/>
                <w:bCs/>
                <w:color w:val="FFFFFF"/>
                <w:sz w:val="19"/>
                <w:szCs w:val="19"/>
              </w:rPr>
              <w:t xml:space="preserve">Typical retention</w:t>
            </w:r>
          </w:p>
        </w:tc>
      </w:tr>
      <w:tr>
        <w:tc>
          <w:tcPr>
            <w:tcW w:type="dxa" w:w="4000"/>
            <w:tcMar>
              <w:top w:type="dxa" w:w="80"/>
              <w:left w:type="dxa" w:w="100"/>
              <w:bottom w:type="dxa" w:w="80"/>
              <w:right w:type="dxa" w:w="100"/>
            </w:tcMar>
          </w:tcPr>
          <w:p>
            <w:r>
              <w:rPr>
                <w:b w:val="false"/>
                <w:bCs w:val="false"/>
                <w:color w:val="000000"/>
                <w:sz w:val="19"/>
                <w:szCs w:val="19"/>
              </w:rPr>
              <w:t xml:space="preserve">Booking &amp; contract data (incl. payment records)</w:t>
            </w:r>
          </w:p>
        </w:tc>
        <w:tc>
          <w:tcPr>
            <w:tcW w:type="dxa" w:w="5600"/>
            <w:tcMar>
              <w:top w:type="dxa" w:w="80"/>
              <w:left w:type="dxa" w:w="100"/>
              <w:bottom w:type="dxa" w:w="80"/>
              <w:right w:type="dxa" w:w="100"/>
            </w:tcMar>
          </w:tcPr>
          <w:p>
            <w:r>
              <w:rPr>
                <w:b w:val="false"/>
                <w:bCs w:val="false"/>
                <w:color w:val="000000"/>
                <w:sz w:val="19"/>
                <w:szCs w:val="19"/>
              </w:rPr>
              <w:t xml:space="preserve">Duration of the relationship + statutory bookkeeping period (7 years under Swedish bokföringslagen)</w:t>
            </w:r>
          </w:p>
        </w:tc>
      </w:tr>
      <w:tr>
        <w:tc>
          <w:tcPr>
            <w:tcW w:type="dxa" w:w="4000"/>
            <w:tcMar>
              <w:top w:type="dxa" w:w="80"/>
              <w:left w:type="dxa" w:w="100"/>
              <w:bottom w:type="dxa" w:w="80"/>
              <w:right w:type="dxa" w:w="100"/>
            </w:tcMar>
          </w:tcPr>
          <w:p>
            <w:r>
              <w:rPr>
                <w:b w:val="false"/>
                <w:bCs w:val="false"/>
                <w:color w:val="000000"/>
                <w:sz w:val="19"/>
                <w:szCs w:val="19"/>
              </w:rPr>
              <w:t xml:space="preserve">Passport/ID details collected for a specific trip</w:t>
            </w:r>
          </w:p>
        </w:tc>
        <w:tc>
          <w:tcPr>
            <w:tcW w:type="dxa" w:w="5600"/>
            <w:tcMar>
              <w:top w:type="dxa" w:w="80"/>
              <w:left w:type="dxa" w:w="100"/>
              <w:bottom w:type="dxa" w:w="80"/>
              <w:right w:type="dxa" w:w="100"/>
            </w:tcMar>
          </w:tcPr>
          <w:p>
            <w:r>
              <w:rPr>
                <w:b w:val="false"/>
                <w:bCs w:val="false"/>
                <w:color w:val="000000"/>
                <w:sz w:val="19"/>
                <w:szCs w:val="19"/>
              </w:rPr>
              <w:t xml:space="preserve">Deleted once no longer needed for that trip and any legal claim period, unless law requires longer</w:t>
            </w:r>
          </w:p>
        </w:tc>
      </w:tr>
      <w:tr>
        <w:tc>
          <w:tcPr>
            <w:tcW w:type="dxa" w:w="4000"/>
            <w:tcMar>
              <w:top w:type="dxa" w:w="80"/>
              <w:left w:type="dxa" w:w="100"/>
              <w:bottom w:type="dxa" w:w="80"/>
              <w:right w:type="dxa" w:w="100"/>
            </w:tcMar>
          </w:tcPr>
          <w:p>
            <w:r>
              <w:rPr>
                <w:b w:val="false"/>
                <w:bCs w:val="false"/>
                <w:color w:val="000000"/>
                <w:sz w:val="19"/>
                <w:szCs w:val="19"/>
              </w:rPr>
              <w:t xml:space="preserve">Marketing consent data</w:t>
            </w:r>
          </w:p>
        </w:tc>
        <w:tc>
          <w:tcPr>
            <w:tcW w:type="dxa" w:w="5600"/>
            <w:tcMar>
              <w:top w:type="dxa" w:w="80"/>
              <w:left w:type="dxa" w:w="100"/>
              <w:bottom w:type="dxa" w:w="80"/>
              <w:right w:type="dxa" w:w="100"/>
            </w:tcMar>
          </w:tcPr>
          <w:p>
            <w:r>
              <w:rPr>
                <w:b w:val="false"/>
                <w:bCs w:val="false"/>
                <w:color w:val="000000"/>
                <w:sz w:val="19"/>
                <w:szCs w:val="19"/>
              </w:rPr>
              <w:t xml:space="preserve">Until you withdraw consent, or [X years] of inactivity</w:t>
            </w:r>
          </w:p>
        </w:tc>
      </w:tr>
      <w:tr>
        <w:tc>
          <w:tcPr>
            <w:tcW w:type="dxa" w:w="4000"/>
            <w:tcMar>
              <w:top w:type="dxa" w:w="80"/>
              <w:left w:type="dxa" w:w="100"/>
              <w:bottom w:type="dxa" w:w="80"/>
              <w:right w:type="dxa" w:w="100"/>
            </w:tcMar>
          </w:tcPr>
          <w:p>
            <w:r>
              <w:rPr>
                <w:b w:val="false"/>
                <w:bCs w:val="false"/>
                <w:color w:val="000000"/>
                <w:sz w:val="19"/>
                <w:szCs w:val="19"/>
              </w:rPr>
              <w:t xml:space="preserve">Website/technical logs</w:t>
            </w:r>
          </w:p>
        </w:tc>
        <w:tc>
          <w:tcPr>
            <w:tcW w:type="dxa" w:w="5600"/>
            <w:tcMar>
              <w:top w:type="dxa" w:w="80"/>
              <w:left w:type="dxa" w:w="100"/>
              <w:bottom w:type="dxa" w:w="80"/>
              <w:right w:type="dxa" w:w="100"/>
            </w:tcMar>
          </w:tcPr>
          <w:p>
            <w:r>
              <w:rPr>
                <w:b w:val="false"/>
                <w:bCs w:val="false"/>
                <w:color w:val="000000"/>
                <w:sz w:val="19"/>
                <w:szCs w:val="19"/>
              </w:rPr>
              <w:t xml:space="preserve">[Insert — commonly 6–13 months]</w:t>
            </w:r>
          </w:p>
        </w:tc>
      </w:tr>
    </w:tbl>
    <w:p>
      <w:pPr>
        <w:pStyle w:val="Heading1"/>
        <w:spacing w:after="140" w:before="320"/>
      </w:pPr>
      <w:r>
        <w:t xml:space="preserve">7. Your Rights</w:t>
      </w:r>
    </w:p>
    <w:p>
      <w:pPr>
        <w:spacing w:after="120"/>
      </w:pPr>
      <w:r>
        <w:t xml:space="preserve">Under the GDPR, you have the right to: access the personal data we hold about you; have inaccurate data corrected; request erasure in certain circumstances; restrict or object to certain processing; receive a copy of your data in a portable format; and withdraw consent at any time (without affecting processing already carried out). To exercise any of these, email ceylononmyterms@gmail.com. If you're unhappy with our response, you can complain to the Swedish data protection authority, Integritetsskyddsmyndigheten (IMY), imy.se, or the authority in your own EU/EEA country of residence.</w:t>
      </w:r>
    </w:p>
    <w:p>
      <w:pPr>
        <w:pStyle w:val="Heading1"/>
        <w:spacing w:after="140" w:before="320"/>
      </w:pPr>
      <w:r>
        <w:t xml:space="preserve">8. Cookies</w:t>
      </w:r>
    </w:p>
    <w:p>
      <w:pPr>
        <w:spacing w:after="120"/>
      </w:pPr>
      <w:r>
        <w:t xml:space="preserve">Our website uses cookies and similar technologies for essential site functionality, analytics, and (with your consent) marketing. You can manage preferences via our cookie banner/settings and your browser. [Expand into a full cookie table — strictly necessary / analytics / marketing, provider, purpose, duration — once your actual cookie/tag setup is finalised; this is required content under Swedish law (lagen om elektronisk kommunikation) and cannot be accurately completed without knowing what's actually deployed on the live site.]</w:t>
      </w:r>
    </w:p>
    <w:p>
      <w:pPr>
        <w:pStyle w:val="Heading1"/>
        <w:spacing w:after="140" w:before="320"/>
      </w:pPr>
      <w:r>
        <w:t xml:space="preserve">9. Security</w:t>
      </w:r>
    </w:p>
    <w:p>
      <w:pPr>
        <w:spacing w:after="120"/>
      </w:pPr>
      <w:r>
        <w:t xml:space="preserve">We use appropriate technical and organisational measures to protect your data, including access controls and encrypted transmission for payment data (handled by our PCI-DSS-compliant payment providers). No system is 100% secure; contact us immediately if you believe your account or data has been compromised.</w:t>
      </w:r>
    </w:p>
    <w:p>
      <w:pPr>
        <w:pStyle w:val="Heading1"/>
        <w:spacing w:after="140" w:before="320"/>
      </w:pPr>
      <w:r>
        <w:t xml:space="preserve">10. Children</w:t>
      </w:r>
    </w:p>
    <w:p>
      <w:pPr>
        <w:spacing w:after="120"/>
      </w:pPr>
      <w:r>
        <w:t xml:space="preserve">Our services are intended for adults who book on behalf of their travelling party, including any children in that party. We do not knowingly collect data directly from children without a parent/guardian booking on their behalf.</w:t>
      </w:r>
    </w:p>
    <w:p>
      <w:pPr>
        <w:pStyle w:val="Heading1"/>
        <w:spacing w:after="140" w:before="320"/>
      </w:pPr>
      <w:r>
        <w:t xml:space="preserve">11. Changes to This Policy</w:t>
      </w:r>
    </w:p>
    <w:p>
      <w:pPr>
        <w:spacing w:after="120"/>
      </w:pPr>
      <w:r>
        <w:t xml:space="preserve">We may update this policy from time to time; the effective date at the top will change. Material changes will be highlighted on our website or communicated directly where appropriate.</w:t>
      </w:r>
    </w:p>
    <w:p>
      <w:pPr>
        <w:pStyle w:val="Heading1"/>
        <w:spacing w:after="140" w:before="320"/>
      </w:pPr>
      <w:r>
        <w:t xml:space="preserve">12. Contact</w:t>
      </w:r>
    </w:p>
    <w:p>
      <w:pPr>
        <w:spacing w:after="120"/>
      </w:pPr>
      <w:r>
        <w:t xml:space="preserve">CEYLON ON MY TERMS · ceylononmyterms@gmail.com · Studentstaden 22, 752 33 Uppsala, Sweden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Ceylon on my terms — Privacy Policy · Page </w:t>
    </w:r>
    <w:r>
      <w:rPr>
        <w:color w:val="808080"/>
        <w:sz w:val="16"/>
        <w:szCs w:val="16"/>
      </w:rPr>
      <w:fldChar w:fldCharType="begin"/>
      <w:instrText xml:space="preserve">PAGE</w:instrText>
      <w:fldChar w:fldCharType="separate"/>
      <w:fldChar w:fldCharType="end"/>
    </w:r>
    <w:r>
      <w:rPr>
        <w:color w:val="808080"/>
        <w:sz w:val="16"/>
        <w:szCs w:val="16"/>
      </w:rPr>
      <w:t xml:space="preserve"> of </w:t>
    </w:r>
    <w:r>
      <w:rPr>
        <w:color w:val="8080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2026-08-05T19:17:30.467Z</dcterms:created>
  <dcterms:modified xsi:type="dcterms:W3CDTF">2026-08-05T19:17:30.467Z</dcterms:modified>
</cp:coreProperties>
</file>

<file path=docProps/custom.xml><?xml version="1.0" encoding="utf-8"?>
<Properties xmlns="http://schemas.openxmlformats.org/officeDocument/2006/custom-properties" xmlns:vt="http://schemas.openxmlformats.org/officeDocument/2006/docPropsVTypes"/>
</file>